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eastAsia" w:ascii="宋体" w:hAnsi="宋体" w:cs="宋体"/>
          <w:color w:val="auto"/>
          <w:highlight w:val="none"/>
        </w:rPr>
      </w:pPr>
      <w:bookmarkStart w:id="0" w:name="_Toc495369952"/>
      <w:r>
        <w:rPr>
          <w:rFonts w:hint="eastAsia" w:ascii="宋体" w:hAnsi="宋体" w:cs="宋体"/>
          <w:color w:val="auto"/>
          <w:highlight w:val="none"/>
        </w:rPr>
        <w:t>第一章  投标邀请</w:t>
      </w:r>
      <w:bookmarkEnd w:id="0"/>
    </w:p>
    <w:p>
      <w:pPr>
        <w:spacing w:line="360" w:lineRule="auto"/>
        <w:ind w:firstLine="480" w:firstLineChars="200"/>
        <w:jc w:val="left"/>
        <w:rPr>
          <w:rFonts w:hint="eastAsia" w:ascii="宋体" w:hAnsi="宋体" w:cs="宋体"/>
          <w:color w:val="auto"/>
          <w:sz w:val="24"/>
          <w:highlight w:val="none"/>
          <w:u w:val="single"/>
        </w:rPr>
      </w:pPr>
      <w:r>
        <w:rPr>
          <w:rFonts w:hint="eastAsia" w:ascii="宋体" w:hAnsi="宋体" w:cs="宋体"/>
          <w:color w:val="auto"/>
          <w:sz w:val="24"/>
          <w:highlight w:val="none"/>
          <w:u w:val="single"/>
        </w:rPr>
        <w:t>四川嘉泰伟业工程项目管理有限公司</w:t>
      </w:r>
      <w:r>
        <w:rPr>
          <w:rFonts w:hint="eastAsia" w:ascii="宋体" w:hAnsi="宋体" w:cs="宋体"/>
          <w:color w:val="auto"/>
          <w:sz w:val="24"/>
          <w:highlight w:val="none"/>
        </w:rPr>
        <w:t>（采购代理机构）受</w:t>
      </w:r>
      <w:r>
        <w:rPr>
          <w:rFonts w:hint="eastAsia" w:ascii="宋体" w:hAnsi="宋体" w:cs="宋体"/>
          <w:bCs/>
          <w:color w:val="auto"/>
          <w:sz w:val="24"/>
          <w:highlight w:val="none"/>
          <w:u w:val="single"/>
        </w:rPr>
        <w:t>泸州市龙马潭区龙驰旅游发展有限公司（</w:t>
      </w:r>
      <w:r>
        <w:rPr>
          <w:rFonts w:hint="eastAsia" w:ascii="宋体" w:hAnsi="宋体" w:cs="宋体"/>
          <w:bCs/>
          <w:color w:val="auto"/>
          <w:sz w:val="24"/>
          <w:highlight w:val="none"/>
        </w:rPr>
        <w:t>采购人）</w:t>
      </w:r>
      <w:r>
        <w:rPr>
          <w:rFonts w:hint="eastAsia" w:ascii="宋体" w:hAnsi="宋体" w:cs="宋体"/>
          <w:color w:val="auto"/>
          <w:sz w:val="24"/>
          <w:highlight w:val="none"/>
        </w:rPr>
        <w:t>委托，拟对</w:t>
      </w:r>
      <w:r>
        <w:rPr>
          <w:rFonts w:hint="eastAsia" w:ascii="宋体" w:hAnsi="宋体" w:cs="宋体"/>
          <w:bCs/>
          <w:color w:val="auto"/>
          <w:sz w:val="24"/>
          <w:highlight w:val="none"/>
          <w:u w:val="single"/>
        </w:rPr>
        <w:t>龙马潭区长江上游人居环境及生态保护工程项目策划方案、概念性总体规划采购项目</w:t>
      </w:r>
      <w:r>
        <w:rPr>
          <w:rFonts w:hint="eastAsia" w:ascii="宋体" w:hAnsi="宋体" w:cs="宋体"/>
          <w:color w:val="auto"/>
          <w:sz w:val="24"/>
          <w:highlight w:val="none"/>
        </w:rPr>
        <w:t>进行国内公开招标，兹邀请符合本次招标要求的供应商参加投标。</w:t>
      </w:r>
    </w:p>
    <w:p>
      <w:pPr>
        <w:spacing w:line="360" w:lineRule="auto"/>
        <w:ind w:left="2132" w:leftChars="228" w:right="31" w:rightChars="15" w:hanging="1653" w:hangingChars="686"/>
        <w:rPr>
          <w:rFonts w:hint="eastAsia" w:ascii="宋体" w:hAnsi="宋体" w:cs="宋体"/>
          <w:color w:val="auto"/>
          <w:sz w:val="24"/>
          <w:highlight w:val="none"/>
        </w:rPr>
      </w:pPr>
      <w:r>
        <w:rPr>
          <w:rFonts w:hint="eastAsia" w:ascii="宋体" w:hAnsi="宋体" w:cs="宋体"/>
          <w:b/>
          <w:color w:val="auto"/>
          <w:sz w:val="24"/>
          <w:highlight w:val="none"/>
        </w:rPr>
        <w:t>一、招标编号：</w:t>
      </w:r>
      <w:r>
        <w:rPr>
          <w:rFonts w:hint="eastAsia" w:ascii="宋体" w:hAnsi="宋体" w:cs="宋体"/>
          <w:bCs/>
          <w:color w:val="auto"/>
          <w:sz w:val="24"/>
          <w:highlight w:val="none"/>
        </w:rPr>
        <w:t>scjtwy（2021）0715</w:t>
      </w:r>
    </w:p>
    <w:p>
      <w:pPr>
        <w:spacing w:line="360" w:lineRule="auto"/>
        <w:ind w:right="-279" w:rightChars="-133" w:firstLine="482" w:firstLineChars="200"/>
        <w:rPr>
          <w:rFonts w:hint="eastAsia" w:ascii="宋体" w:hAnsi="宋体" w:cs="宋体"/>
          <w:bCs/>
          <w:color w:val="auto"/>
          <w:sz w:val="24"/>
          <w:highlight w:val="none"/>
        </w:rPr>
      </w:pPr>
      <w:r>
        <w:rPr>
          <w:rFonts w:hint="eastAsia" w:ascii="宋体" w:hAnsi="宋体" w:cs="宋体"/>
          <w:b/>
          <w:bCs/>
          <w:color w:val="auto"/>
          <w:sz w:val="24"/>
          <w:highlight w:val="none"/>
        </w:rPr>
        <w:t>二、</w:t>
      </w:r>
      <w:r>
        <w:rPr>
          <w:rFonts w:hint="eastAsia" w:ascii="宋体" w:hAnsi="宋体" w:cs="宋体"/>
          <w:b/>
          <w:color w:val="auto"/>
          <w:sz w:val="24"/>
          <w:highlight w:val="none"/>
        </w:rPr>
        <w:t>招标项目：</w:t>
      </w:r>
      <w:r>
        <w:rPr>
          <w:rFonts w:hint="eastAsia" w:ascii="宋体" w:hAnsi="宋体" w:cs="宋体"/>
          <w:bCs/>
          <w:color w:val="auto"/>
          <w:sz w:val="24"/>
          <w:highlight w:val="none"/>
        </w:rPr>
        <w:t>龙马潭区长江上游人居环境及生态保护工程项目策划方案、概念性总体规划采购项目</w:t>
      </w:r>
    </w:p>
    <w:p>
      <w:pPr>
        <w:spacing w:line="360" w:lineRule="auto"/>
        <w:ind w:left="2132" w:leftChars="228" w:right="31" w:rightChars="15" w:hanging="1653" w:hangingChars="686"/>
        <w:rPr>
          <w:rFonts w:hint="eastAsia" w:ascii="宋体" w:hAnsi="宋体" w:cs="宋体"/>
          <w:color w:val="auto"/>
          <w:sz w:val="24"/>
          <w:highlight w:val="none"/>
        </w:rPr>
      </w:pPr>
      <w:r>
        <w:rPr>
          <w:rFonts w:hint="eastAsia" w:ascii="宋体" w:hAnsi="宋体" w:cs="宋体"/>
          <w:b/>
          <w:color w:val="auto"/>
          <w:sz w:val="24"/>
          <w:szCs w:val="28"/>
          <w:highlight w:val="none"/>
        </w:rPr>
        <w:t>三、资金来源：</w:t>
      </w:r>
      <w:r>
        <w:rPr>
          <w:rFonts w:hint="eastAsia" w:ascii="宋体" w:hAnsi="宋体" w:cs="宋体"/>
          <w:color w:val="auto"/>
          <w:sz w:val="24"/>
          <w:highlight w:val="none"/>
        </w:rPr>
        <w:t>自筹资金。</w:t>
      </w:r>
    </w:p>
    <w:p>
      <w:pPr>
        <w:spacing w:line="360" w:lineRule="auto"/>
        <w:ind w:firstLine="482" w:firstLineChars="200"/>
        <w:jc w:val="left"/>
        <w:rPr>
          <w:rFonts w:hint="eastAsia" w:ascii="宋体" w:hAnsi="宋体" w:cs="宋体"/>
          <w:bCs/>
          <w:color w:val="auto"/>
          <w:sz w:val="24"/>
          <w:highlight w:val="none"/>
        </w:rPr>
      </w:pPr>
      <w:r>
        <w:rPr>
          <w:rFonts w:hint="eastAsia" w:ascii="宋体" w:hAnsi="宋体" w:cs="宋体"/>
          <w:b/>
          <w:color w:val="auto"/>
          <w:sz w:val="24"/>
          <w:szCs w:val="28"/>
          <w:highlight w:val="none"/>
        </w:rPr>
        <w:t>四、</w:t>
      </w:r>
      <w:r>
        <w:rPr>
          <w:rFonts w:hint="eastAsia" w:ascii="宋体" w:hAnsi="宋体" w:cs="宋体"/>
          <w:b/>
          <w:color w:val="auto"/>
          <w:sz w:val="24"/>
          <w:highlight w:val="none"/>
        </w:rPr>
        <w:t>招标项目概况</w:t>
      </w:r>
      <w:r>
        <w:rPr>
          <w:rFonts w:hint="eastAsia" w:ascii="宋体" w:hAnsi="宋体" w:cs="宋体"/>
          <w:b/>
          <w:color w:val="auto"/>
          <w:sz w:val="24"/>
          <w:szCs w:val="28"/>
          <w:highlight w:val="none"/>
        </w:rPr>
        <w:t>：</w:t>
      </w:r>
      <w:r>
        <w:rPr>
          <w:rFonts w:hint="eastAsia" w:ascii="宋体" w:hAnsi="宋体" w:cs="宋体"/>
          <w:bCs/>
          <w:color w:val="auto"/>
          <w:sz w:val="24"/>
          <w:highlight w:val="none"/>
        </w:rPr>
        <w:t>龙马潭区长江上游人居环境及生态保护工程项目位于泸州市龙马潭区特兴街道的桐兴村、奎丰社区、魏园社区，项目北面分别与石洞街道相连，西面分别与鱼塘街道、罗汉街道相邻，东南面与芙蓉岛生态景区隔江相望，项目占地面积约4200亩。</w:t>
      </w:r>
    </w:p>
    <w:p>
      <w:pPr>
        <w:pStyle w:val="2"/>
        <w:rPr>
          <w:rFonts w:hint="eastAsia"/>
          <w:color w:val="auto"/>
          <w:highlight w:val="none"/>
        </w:rPr>
      </w:pPr>
      <w:r>
        <w:rPr>
          <w:rFonts w:hint="eastAsia" w:ascii="仿宋" w:hAnsi="仿宋" w:eastAsia="仿宋" w:cs="仿宋"/>
          <w:color w:val="auto"/>
          <w:sz w:val="28"/>
          <w:szCs w:val="28"/>
          <w:highlight w:val="none"/>
        </w:rPr>
        <w:drawing>
          <wp:inline distT="0" distB="0" distL="114300" distR="114300">
            <wp:extent cx="5558155" cy="2914015"/>
            <wp:effectExtent l="0" t="0" r="4445" b="635"/>
            <wp:docPr id="1" name="图片 1" descr="E:\桐兴文旅项目\1.1公开招标\红线范围.png红线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桐兴文旅项目\1.1公开招标\红线范围.png红线范围"/>
                    <pic:cNvPicPr>
                      <a:picLocks noChangeAspect="1"/>
                    </pic:cNvPicPr>
                  </pic:nvPicPr>
                  <pic:blipFill>
                    <a:blip r:embed="rId4"/>
                    <a:stretch>
                      <a:fillRect/>
                    </a:stretch>
                  </pic:blipFill>
                  <pic:spPr>
                    <a:xfrm>
                      <a:off x="0" y="0"/>
                      <a:ext cx="5558155" cy="2914015"/>
                    </a:xfrm>
                    <a:prstGeom prst="rect">
                      <a:avLst/>
                    </a:prstGeom>
                    <a:noFill/>
                    <a:ln w="9525">
                      <a:noFill/>
                    </a:ln>
                  </pic:spPr>
                </pic:pic>
              </a:graphicData>
            </a:graphic>
          </wp:inline>
        </w:drawing>
      </w:r>
    </w:p>
    <w:p>
      <w:pPr>
        <w:spacing w:line="360" w:lineRule="auto"/>
        <w:ind w:left="3667" w:leftChars="228" w:hanging="3188" w:hangingChars="1323"/>
        <w:rPr>
          <w:rFonts w:hint="eastAsia" w:ascii="宋体" w:hAnsi="宋体" w:cs="宋体"/>
          <w:color w:val="auto"/>
          <w:sz w:val="24"/>
          <w:highlight w:val="none"/>
        </w:rPr>
      </w:pPr>
      <w:r>
        <w:rPr>
          <w:rFonts w:hint="eastAsia" w:ascii="宋体" w:hAnsi="宋体" w:cs="宋体"/>
          <w:b/>
          <w:color w:val="auto"/>
          <w:sz w:val="24"/>
          <w:highlight w:val="none"/>
        </w:rPr>
        <w:t>五</w:t>
      </w:r>
      <w:r>
        <w:rPr>
          <w:rFonts w:hint="eastAsia" w:ascii="宋体" w:hAnsi="宋体" w:cs="宋体"/>
          <w:b/>
          <w:bCs/>
          <w:color w:val="auto"/>
          <w:sz w:val="24"/>
          <w:highlight w:val="none"/>
        </w:rPr>
        <w:t>、</w:t>
      </w:r>
      <w:r>
        <w:rPr>
          <w:rFonts w:hint="eastAsia" w:ascii="宋体" w:hAnsi="宋体" w:cs="宋体"/>
          <w:b/>
          <w:color w:val="auto"/>
          <w:sz w:val="24"/>
          <w:highlight w:val="none"/>
        </w:rPr>
        <w:t>招标要求与招标范围：</w:t>
      </w:r>
      <w:r>
        <w:rPr>
          <w:rFonts w:hint="eastAsia" w:ascii="宋体" w:hAnsi="宋体" w:cs="宋体"/>
          <w:color w:val="auto"/>
          <w:sz w:val="24"/>
          <w:highlight w:val="none"/>
        </w:rPr>
        <w:t>（技术参数详见招标文件第六章）</w:t>
      </w:r>
    </w:p>
    <w:p>
      <w:pPr>
        <w:pStyle w:val="2"/>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本项目1个包：龙马潭区长江上游人居环境及生态保护工程项目策划方案、概念性总体规划方案采购项目，一项。</w:t>
      </w:r>
    </w:p>
    <w:p>
      <w:pPr>
        <w:pStyle w:val="2"/>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对桐兴村、奎峰社区、魏园社区整体约 4200 亩（以实际测量为准）用地进行旅游发展策划方案及概念性总体规划设计。</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结合川南、泸州文旅市场竞争态势和泸州旅游客群特征，针对项目区域内文旅资源现状，结合泸州旅游发展规划，分析现状乡村发展条件，提出目标定位和发展策略。从景区整体定位、文旅产品打造和景区运营需求出发，在乡村振兴的大背景下，结合桐兴村、奎峰社区、魏园社区的自然资源特色、乡村人文风情，就片区整体旅游定位、总体发展规划、景点布局规划、文旅体验策划等内容进行方案提报。具体内容如下：</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（一）策划方案编制内容，包括但不限于：</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1、项目资源综合研判</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（1）项目区位及交通分析</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（2）乡村振兴及旅游发展相关政策研究</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（3）项目自然、人文、景观资源挖掘与利用研究</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（4）综合评估结论，确定主导文旅产业IP及特色。</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2、泸州旅游市场研判</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（1）泸州市经济概况及旅游消费潜力分析</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（2）泸州市及项目所在区域旅游市场发展现状及趋势研究</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（3）泸州游客特征及需求分析</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（4）项目竞品分析</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（5）市场小结</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3、项目定位</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（1）项目发展目标与愿景</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（2）项目成功的标尺</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（3）项目总体定位研究（产业定位、市场定位、客群定位）</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（4）项目产业发展及乡村振兴带动模式研究</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（5）项目品牌形象及传播策略</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4、项目策划</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（1）文旅主题挖掘及提炼</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（2）故事线串联及体验场景策划</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（3）旅游景点体系策划</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（4）重点旅游项目布局</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（5）开发时序引导及各阶段产品定位</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（6）文旅运营策略及节庆、活动策划</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5、经济测算</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（1）经济技术指标</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（2）整体现金流规划</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（3）整体经济投资测算</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策划方案编制阶段就以上内容，最终形成PPT版本（打印为</w:t>
      </w:r>
      <w:r>
        <w:rPr>
          <w:rFonts w:hint="eastAsia" w:ascii="宋体" w:hAnsi="宋体" w:cs="宋体"/>
          <w:bCs/>
          <w:color w:val="auto"/>
          <w:sz w:val="24"/>
          <w:highlight w:val="none"/>
          <w:lang w:val="en-US" w:eastAsia="zh-CN"/>
        </w:rPr>
        <w:t>彩色</w:t>
      </w:r>
      <w:r>
        <w:rPr>
          <w:rFonts w:hint="eastAsia" w:ascii="宋体" w:hAnsi="宋体" w:cs="宋体"/>
          <w:bCs/>
          <w:color w:val="auto"/>
          <w:sz w:val="24"/>
          <w:highlight w:val="none"/>
        </w:rPr>
        <w:t>A3图幅</w:t>
      </w: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八份</w:t>
      </w:r>
      <w:r>
        <w:rPr>
          <w:rFonts w:hint="eastAsia" w:ascii="宋体" w:hAnsi="宋体" w:cs="宋体"/>
          <w:bCs/>
          <w:color w:val="auto"/>
          <w:sz w:val="24"/>
          <w:highlight w:val="none"/>
          <w:lang w:eastAsia="zh-CN"/>
        </w:rPr>
        <w:t>）</w:t>
      </w:r>
      <w:r>
        <w:rPr>
          <w:rFonts w:hint="eastAsia" w:ascii="宋体" w:hAnsi="宋体" w:cs="宋体"/>
          <w:bCs/>
          <w:color w:val="auto"/>
          <w:sz w:val="24"/>
          <w:highlight w:val="none"/>
        </w:rPr>
        <w:t>，并同步提供电子文档）的工作成果：《龙马潭区长江上游人居环境及生态保护工程项目策划方案》。</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（二）概念性总体规划</w:t>
      </w:r>
      <w:r>
        <w:rPr>
          <w:rFonts w:hint="eastAsia" w:ascii="宋体" w:hAnsi="宋体" w:cs="宋体"/>
          <w:bCs/>
          <w:color w:val="auto"/>
          <w:sz w:val="24"/>
          <w:highlight w:val="none"/>
          <w:lang w:val="en-US" w:eastAsia="zh-CN"/>
        </w:rPr>
        <w:t>设计</w:t>
      </w:r>
      <w:r>
        <w:rPr>
          <w:rFonts w:hint="eastAsia" w:ascii="宋体" w:hAnsi="宋体" w:cs="宋体"/>
          <w:bCs/>
          <w:color w:val="auto"/>
          <w:sz w:val="24"/>
          <w:highlight w:val="none"/>
        </w:rPr>
        <w:t>内容，包括但不限于：</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1、项目总体定位</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（1）项目发展背景概况</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（2）项目发展目标与愿景</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（3）项目总体定位研究（产业定位、市场定位、客群定位）</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（4）区位及交通分析</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（5）自然景观资源挖掘与利用研究</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（6）人文景观资源挖掘与利用研究</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（7）上位及相关规划解读</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（8）场地景观视线通廊分析</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（9）土地利用现状综合评价</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（10）现状综合分析结论</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2、项目生态敏感性及用地适宜性评估</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（1）地形分析（高程、坡度、坡向及汇水）</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（2）场地气候特征分析</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（3）场地植被特征及特色作物分析</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（4）场地土壤特征分析</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（5）项目生态敏感性评价</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（6）项目土地开发适宜性评价</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3、概念规划方案设计</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（1）基于生态敏感性和策划分析的总平面布置</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（2）土地利用规划</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（3）功能分区</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（4）交通规划（静态交通、车行交通、慢行交通）</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（5）用地及道路竖向规划</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（6）天然植被保护及生态复绿规划</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（7）重要景点布局落位及意向</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（8）旅游服务设施（含配套功能及业态）布局与规模测算</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（9）主题旅游动线规划</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（10）公共服务设施布局</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（11）其他能反映规划意图和内容的分析图或意向图</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4、分区规划深化及设计指引</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（1）各分区总平面放大图及相关指标</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（2）分区道路分析</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（3）文旅主题及故事场景策划</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（4）旅游景点体系布局落位</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（5）各分区重点项目布局、设计意向及功能建议</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（6）其他能反映规划意图和内容的分析图、效果图、鸟瞰图、模型及重要空间节点效果表达。</w:t>
      </w:r>
    </w:p>
    <w:p>
      <w:pPr>
        <w:pStyle w:val="2"/>
        <w:spacing w:line="360" w:lineRule="auto"/>
        <w:ind w:firstLine="480" w:firstLineChars="200"/>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rPr>
        <w:t>5、专项</w:t>
      </w:r>
      <w:r>
        <w:rPr>
          <w:rFonts w:hint="default" w:ascii="宋体" w:hAnsi="宋体" w:cs="宋体"/>
          <w:bCs/>
          <w:color w:val="auto"/>
          <w:sz w:val="24"/>
          <w:highlight w:val="none"/>
          <w:lang w:val="en-US"/>
        </w:rPr>
        <w:t>设计</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（1）现状植物、建筑保护利用策略</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（2）景观物料选材策略</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（3）季相景观优化策略</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（4）景观家具及小品选型策略</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（5）分期发展策略</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（6）运营及活动组织策略</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（7）项目品牌形象及传播策略</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6、结合概念性总体规划内容，对项目策划方案阶段的经济测算进行修正，形成最终（修正版）经济测算</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（1）经济技术指标</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（2）整体现金流规划</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（3）整体经济投资测算</w:t>
      </w:r>
    </w:p>
    <w:p>
      <w:pPr>
        <w:pStyle w:val="3"/>
        <w:ind w:firstLine="480" w:firstLineChars="200"/>
        <w:rPr>
          <w:color w:val="auto"/>
          <w:highlight w:val="none"/>
        </w:rPr>
      </w:pPr>
      <w:r>
        <w:rPr>
          <w:rFonts w:hint="eastAsia" w:ascii="宋体" w:hAnsi="宋体" w:cs="宋体"/>
          <w:bCs/>
          <w:color w:val="auto"/>
          <w:sz w:val="24"/>
          <w:highlight w:val="none"/>
        </w:rPr>
        <w:t>（4）建筑、构筑物、配套设施的各项指标及测算</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概念性总体规划</w:t>
      </w:r>
      <w:r>
        <w:rPr>
          <w:rFonts w:hint="eastAsia" w:ascii="宋体" w:hAnsi="宋体" w:cs="宋体"/>
          <w:bCs/>
          <w:color w:val="auto"/>
          <w:sz w:val="24"/>
          <w:highlight w:val="none"/>
          <w:lang w:val="en-US" w:eastAsia="zh-CN"/>
        </w:rPr>
        <w:t>设计</w:t>
      </w:r>
      <w:r>
        <w:rPr>
          <w:rFonts w:hint="eastAsia" w:ascii="宋体" w:hAnsi="宋体" w:cs="宋体"/>
          <w:bCs/>
          <w:color w:val="auto"/>
          <w:sz w:val="24"/>
          <w:highlight w:val="none"/>
        </w:rPr>
        <w:t>阶段就以上内容</w:t>
      </w:r>
      <w:r>
        <w:rPr>
          <w:rFonts w:hint="eastAsia" w:ascii="仿宋" w:hAnsi="仿宋" w:eastAsia="仿宋" w:cs="仿宋"/>
          <w:color w:val="auto"/>
          <w:sz w:val="30"/>
          <w:szCs w:val="30"/>
          <w:highlight w:val="none"/>
        </w:rPr>
        <w:t>，</w:t>
      </w:r>
      <w:r>
        <w:rPr>
          <w:rFonts w:hint="eastAsia" w:ascii="宋体" w:hAnsi="宋体" w:cs="宋体"/>
          <w:bCs/>
          <w:color w:val="auto"/>
          <w:sz w:val="24"/>
          <w:highlight w:val="none"/>
        </w:rPr>
        <w:t>最终形成PPT版本（打印为</w:t>
      </w:r>
      <w:r>
        <w:rPr>
          <w:rFonts w:hint="eastAsia" w:ascii="宋体" w:hAnsi="宋体" w:cs="宋体"/>
          <w:bCs/>
          <w:color w:val="auto"/>
          <w:sz w:val="24"/>
          <w:highlight w:val="none"/>
          <w:lang w:val="en-US" w:eastAsia="zh-CN"/>
        </w:rPr>
        <w:t>彩色</w:t>
      </w:r>
      <w:r>
        <w:rPr>
          <w:rFonts w:hint="eastAsia" w:ascii="宋体" w:hAnsi="宋体" w:cs="宋体"/>
          <w:bCs/>
          <w:color w:val="auto"/>
          <w:sz w:val="24"/>
          <w:highlight w:val="none"/>
        </w:rPr>
        <w:t>A3图幅</w:t>
      </w: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八份</w:t>
      </w:r>
      <w:r>
        <w:rPr>
          <w:rFonts w:hint="eastAsia" w:ascii="宋体" w:hAnsi="宋体" w:cs="宋体"/>
          <w:bCs/>
          <w:color w:val="auto"/>
          <w:sz w:val="24"/>
          <w:highlight w:val="none"/>
          <w:lang w:eastAsia="zh-CN"/>
        </w:rPr>
        <w:t>）</w:t>
      </w:r>
      <w:r>
        <w:rPr>
          <w:rFonts w:hint="eastAsia" w:ascii="宋体" w:hAnsi="宋体" w:cs="宋体"/>
          <w:bCs/>
          <w:color w:val="auto"/>
          <w:sz w:val="24"/>
          <w:highlight w:val="none"/>
        </w:rPr>
        <w:t>，同步提供电子版文档）的工作成果：《龙马潭区长江上游人居环境及生态保护工程项目概念性总体规划方案》。</w:t>
      </w:r>
      <w:r>
        <w:rPr>
          <w:rFonts w:hint="eastAsia" w:ascii="宋体" w:hAnsi="宋体" w:cs="宋体"/>
          <w:bCs/>
          <w:color w:val="auto"/>
          <w:sz w:val="24"/>
          <w:highlight w:val="none"/>
          <w:lang w:val="en-US" w:eastAsia="zh-CN"/>
        </w:rPr>
        <w:t>包含</w:t>
      </w:r>
      <w:r>
        <w:rPr>
          <w:rFonts w:hint="eastAsia" w:ascii="宋体" w:hAnsi="宋体" w:cs="宋体"/>
          <w:bCs/>
          <w:color w:val="auto"/>
          <w:sz w:val="24"/>
          <w:highlight w:val="none"/>
        </w:rPr>
        <w:t>效果图、鸟瞰图、演示动画（图片分辨率为300ppi，演示动画视频分辨率为2K或以上）。</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7、要求后续服务至修建性详细规划结束，并对后续设计单位完成</w:t>
      </w:r>
      <w:r>
        <w:rPr>
          <w:rFonts w:hint="eastAsia" w:ascii="宋体" w:hAnsi="宋体" w:cs="宋体"/>
          <w:bCs/>
          <w:color w:val="auto"/>
          <w:sz w:val="24"/>
          <w:highlight w:val="none"/>
          <w:lang w:val="en-US" w:eastAsia="zh-CN"/>
        </w:rPr>
        <w:t>方案</w:t>
      </w:r>
      <w:r>
        <w:rPr>
          <w:rFonts w:hint="eastAsia" w:ascii="宋体" w:hAnsi="宋体" w:cs="宋体"/>
          <w:bCs/>
          <w:color w:val="auto"/>
          <w:sz w:val="24"/>
          <w:highlight w:val="none"/>
        </w:rPr>
        <w:t>交底。</w:t>
      </w:r>
    </w:p>
    <w:p>
      <w:pPr>
        <w:pStyle w:val="2"/>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8、项目策划和</w:t>
      </w:r>
      <w:r>
        <w:rPr>
          <w:rFonts w:hint="eastAsia" w:ascii="宋体" w:hAnsi="宋体" w:cs="宋体"/>
          <w:bCs/>
          <w:color w:val="auto"/>
          <w:sz w:val="24"/>
          <w:highlight w:val="none"/>
          <w:lang w:val="en-US" w:eastAsia="zh-CN"/>
        </w:rPr>
        <w:t>总体规划</w:t>
      </w:r>
      <w:r>
        <w:rPr>
          <w:rFonts w:hint="eastAsia" w:ascii="宋体" w:hAnsi="宋体" w:cs="宋体"/>
          <w:bCs/>
          <w:color w:val="auto"/>
          <w:sz w:val="24"/>
          <w:highlight w:val="none"/>
        </w:rPr>
        <w:t>必须满足发包人及项目所在地相关部门的审定要求。且后续服务至修建性详细规划结束。</w:t>
      </w:r>
    </w:p>
    <w:p>
      <w:pPr>
        <w:pStyle w:val="3"/>
        <w:spacing w:line="360" w:lineRule="auto"/>
        <w:ind w:firstLine="482" w:firstLineChars="200"/>
        <w:rPr>
          <w:rFonts w:hint="eastAsia" w:ascii="宋体" w:hAnsi="宋体" w:cs="宋体"/>
          <w:color w:val="auto"/>
          <w:sz w:val="24"/>
          <w:highlight w:val="none"/>
        </w:rPr>
      </w:pPr>
      <w:r>
        <w:rPr>
          <w:rFonts w:hint="eastAsia" w:ascii="宋体" w:hAnsi="宋体" w:cs="宋体"/>
          <w:b/>
          <w:bCs/>
          <w:color w:val="auto"/>
          <w:sz w:val="24"/>
          <w:highlight w:val="none"/>
        </w:rPr>
        <w:t>五、项目服务期：</w:t>
      </w:r>
      <w:r>
        <w:rPr>
          <w:rFonts w:hint="eastAsia" w:ascii="宋体" w:hAnsi="宋体" w:cs="宋体"/>
          <w:color w:val="auto"/>
          <w:sz w:val="24"/>
          <w:highlight w:val="none"/>
        </w:rPr>
        <w:t>总工期为签订合同后80个日历天（不含发包人、主管部门、市区领导审查时间）。</w:t>
      </w:r>
    </w:p>
    <w:p>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六、供应商参加本次采购活动应具备下列条件：</w:t>
      </w:r>
    </w:p>
    <w:p>
      <w:pPr>
        <w:pStyle w:val="13"/>
        <w:ind w:firstLine="480"/>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pPr>
        <w:tabs>
          <w:tab w:val="left" w:pos="7665"/>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tabs>
          <w:tab w:val="left" w:pos="7665"/>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3、具有履行合同所必须的设备和专业技术能力；</w:t>
      </w:r>
    </w:p>
    <w:p>
      <w:pPr>
        <w:tabs>
          <w:tab w:val="left" w:pos="7665"/>
        </w:tabs>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4、具有依法缴纳税收和社会保障资金的良好记录；</w:t>
      </w:r>
    </w:p>
    <w:p>
      <w:pPr>
        <w:spacing w:after="50"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5、参加本次采购活动前三年内，在经营活动中没有重大违法记录的证明文件；</w:t>
      </w:r>
    </w:p>
    <w:p>
      <w:pPr>
        <w:spacing w:after="50"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6、供应商与其他供应商之间，单位负责人不为同一人而且不存在直接控股、管理关系；</w:t>
      </w:r>
    </w:p>
    <w:p>
      <w:pPr>
        <w:pStyle w:val="5"/>
        <w:spacing w:line="360" w:lineRule="auto"/>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7、</w:t>
      </w:r>
      <w:r>
        <w:rPr>
          <w:rFonts w:hint="eastAsia" w:ascii="宋体" w:hAnsi="宋体" w:cs="宋体"/>
          <w:bCs/>
          <w:color w:val="auto"/>
          <w:sz w:val="24"/>
          <w:szCs w:val="24"/>
          <w:highlight w:val="none"/>
          <w:lang w:val="en-US" w:eastAsia="zh-CN"/>
        </w:rPr>
        <w:t>提供</w:t>
      </w:r>
      <w:r>
        <w:rPr>
          <w:rFonts w:hint="eastAsia" w:ascii="宋体" w:hAnsi="宋体" w:cs="宋体"/>
          <w:bCs/>
          <w:color w:val="auto"/>
          <w:sz w:val="24"/>
          <w:szCs w:val="24"/>
          <w:highlight w:val="none"/>
        </w:rPr>
        <w:t>最高人民法院在“信用中国”网站（www.creditchina.gov.cn）或各级信用信息共享平台中</w:t>
      </w:r>
      <w:r>
        <w:rPr>
          <w:rFonts w:hint="eastAsia" w:ascii="宋体" w:hAnsi="宋体" w:cs="宋体"/>
          <w:bCs/>
          <w:color w:val="auto"/>
          <w:sz w:val="24"/>
          <w:szCs w:val="24"/>
          <w:highlight w:val="none"/>
          <w:lang w:val="en-US" w:eastAsia="zh-CN"/>
        </w:rPr>
        <w:t>没有被</w:t>
      </w:r>
      <w:r>
        <w:rPr>
          <w:rFonts w:hint="eastAsia" w:ascii="宋体" w:hAnsi="宋体" w:cs="宋体"/>
          <w:bCs/>
          <w:color w:val="auto"/>
          <w:sz w:val="24"/>
          <w:szCs w:val="24"/>
          <w:highlight w:val="none"/>
        </w:rPr>
        <w:t>列入失信被执行人名单（提供截图）；</w:t>
      </w:r>
    </w:p>
    <w:p>
      <w:pPr>
        <w:pStyle w:val="5"/>
        <w:spacing w:line="360" w:lineRule="auto"/>
        <w:ind w:firstLine="480" w:firstLineChars="200"/>
        <w:rPr>
          <w:rFonts w:hint="eastAsia"/>
          <w:color w:val="auto"/>
          <w:highlight w:val="none"/>
        </w:rPr>
      </w:pPr>
      <w:r>
        <w:rPr>
          <w:rFonts w:hint="eastAsia" w:ascii="宋体" w:hAnsi="宋体" w:cs="宋体"/>
          <w:bCs/>
          <w:color w:val="auto"/>
          <w:sz w:val="24"/>
          <w:szCs w:val="24"/>
          <w:highlight w:val="none"/>
          <w:lang w:val="en-US" w:eastAsia="zh-CN"/>
        </w:rPr>
        <w:t>8</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提供</w:t>
      </w:r>
      <w:r>
        <w:rPr>
          <w:rFonts w:hint="eastAsia" w:ascii="宋体" w:hAnsi="宋体" w:cs="宋体"/>
          <w:bCs/>
          <w:color w:val="auto"/>
          <w:sz w:val="24"/>
          <w:szCs w:val="24"/>
          <w:highlight w:val="none"/>
        </w:rPr>
        <w:t>投标人或其法定代表人、拟委任的项目负责人在“中国裁判文书网”（http://wenshu.court.gov.cn/）查询</w:t>
      </w:r>
      <w:r>
        <w:rPr>
          <w:rFonts w:hint="eastAsia" w:ascii="宋体" w:hAnsi="宋体" w:cs="宋体"/>
          <w:bCs/>
          <w:color w:val="auto"/>
          <w:sz w:val="24"/>
          <w:szCs w:val="24"/>
          <w:highlight w:val="none"/>
          <w:lang w:val="en-US" w:eastAsia="zh-CN"/>
        </w:rPr>
        <w:t>无</w:t>
      </w:r>
      <w:r>
        <w:rPr>
          <w:rFonts w:hint="eastAsia" w:ascii="宋体" w:hAnsi="宋体" w:cs="宋体"/>
          <w:bCs/>
          <w:color w:val="auto"/>
          <w:sz w:val="24"/>
          <w:szCs w:val="24"/>
          <w:highlight w:val="none"/>
        </w:rPr>
        <w:t>行贿犯罪行为的（提供截图）；</w:t>
      </w:r>
    </w:p>
    <w:p>
      <w:pPr>
        <w:spacing w:after="50" w:line="360" w:lineRule="auto"/>
        <w:ind w:firstLine="480" w:firstLineChars="200"/>
        <w:rPr>
          <w:rFonts w:hint="eastAsia" w:ascii="宋体" w:hAnsi="宋体" w:cs="宋体"/>
          <w:bCs/>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须具有行政主管部门颁发的风景园林工程设计专项乙级及以上资质。（省外企业需提供入川承揽业务登记证）</w:t>
      </w:r>
      <w:r>
        <w:rPr>
          <w:rFonts w:hint="eastAsia" w:ascii="宋体" w:hAnsi="宋体" w:cs="宋体"/>
          <w:bCs/>
          <w:color w:val="auto"/>
          <w:sz w:val="24"/>
          <w:highlight w:val="none"/>
        </w:rPr>
        <w:t>；</w:t>
      </w:r>
    </w:p>
    <w:p>
      <w:pPr>
        <w:pStyle w:val="2"/>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lang w:val="en-US" w:eastAsia="zh-CN"/>
        </w:rPr>
        <w:t>10、</w:t>
      </w:r>
      <w:r>
        <w:rPr>
          <w:rFonts w:hint="eastAsia" w:ascii="宋体" w:hAnsi="宋体" w:cs="宋体"/>
          <w:bCs/>
          <w:color w:val="auto"/>
          <w:sz w:val="24"/>
          <w:highlight w:val="none"/>
        </w:rPr>
        <w:t>项目负责人须具有园林工程</w:t>
      </w:r>
      <w:r>
        <w:rPr>
          <w:rFonts w:hint="eastAsia" w:ascii="宋体" w:hAnsi="宋体" w:cs="宋体"/>
          <w:bCs/>
          <w:color w:val="auto"/>
          <w:sz w:val="24"/>
          <w:highlight w:val="none"/>
          <w:lang w:val="en-US" w:eastAsia="zh-CN"/>
        </w:rPr>
        <w:t>或园林景观</w:t>
      </w:r>
      <w:r>
        <w:rPr>
          <w:rFonts w:hint="eastAsia" w:ascii="宋体" w:hAnsi="宋体" w:cs="宋体"/>
          <w:bCs/>
          <w:color w:val="auto"/>
          <w:sz w:val="24"/>
          <w:highlight w:val="none"/>
        </w:rPr>
        <w:t>高级职称，主要参与团队须具有</w:t>
      </w:r>
      <w:r>
        <w:rPr>
          <w:rFonts w:hint="eastAsia" w:ascii="宋体" w:hAnsi="宋体" w:cs="宋体"/>
          <w:bCs/>
          <w:color w:val="auto"/>
          <w:sz w:val="24"/>
          <w:highlight w:val="none"/>
          <w:lang w:val="en-US" w:eastAsia="zh-CN"/>
        </w:rPr>
        <w:t>1名</w:t>
      </w:r>
      <w:r>
        <w:rPr>
          <w:rFonts w:hint="eastAsia" w:ascii="宋体" w:hAnsi="宋体" w:cs="宋体"/>
          <w:bCs/>
          <w:color w:val="auto"/>
          <w:sz w:val="24"/>
          <w:highlight w:val="none"/>
        </w:rPr>
        <w:t>注册</w:t>
      </w:r>
      <w:r>
        <w:rPr>
          <w:rFonts w:hint="eastAsia" w:ascii="宋体" w:hAnsi="宋体" w:cs="宋体"/>
          <w:bCs/>
          <w:color w:val="auto"/>
          <w:sz w:val="24"/>
          <w:highlight w:val="none"/>
          <w:lang w:val="en-US" w:eastAsia="zh-CN"/>
        </w:rPr>
        <w:t>城乡</w:t>
      </w:r>
      <w:r>
        <w:rPr>
          <w:rFonts w:hint="eastAsia" w:ascii="宋体" w:hAnsi="宋体" w:cs="宋体"/>
          <w:bCs/>
          <w:color w:val="auto"/>
          <w:sz w:val="24"/>
          <w:highlight w:val="none"/>
        </w:rPr>
        <w:t>规划师或</w:t>
      </w:r>
      <w:r>
        <w:rPr>
          <w:rFonts w:hint="eastAsia" w:ascii="宋体" w:hAnsi="宋体" w:cs="宋体"/>
          <w:bCs/>
          <w:color w:val="auto"/>
          <w:sz w:val="24"/>
          <w:highlight w:val="none"/>
          <w:lang w:val="en-US" w:eastAsia="zh-CN"/>
        </w:rPr>
        <w:t>2名</w:t>
      </w:r>
      <w:r>
        <w:rPr>
          <w:rFonts w:hint="eastAsia" w:ascii="宋体" w:hAnsi="宋体" w:cs="宋体"/>
          <w:bCs/>
          <w:color w:val="auto"/>
          <w:sz w:val="24"/>
          <w:highlight w:val="none"/>
        </w:rPr>
        <w:t>园林工程</w:t>
      </w:r>
      <w:r>
        <w:rPr>
          <w:rFonts w:hint="eastAsia" w:ascii="宋体" w:hAnsi="宋体" w:cs="宋体"/>
          <w:bCs/>
          <w:color w:val="auto"/>
          <w:sz w:val="24"/>
          <w:highlight w:val="none"/>
          <w:lang w:val="en-US" w:eastAsia="zh-CN"/>
        </w:rPr>
        <w:t>或2名园林景观</w:t>
      </w:r>
      <w:r>
        <w:rPr>
          <w:rFonts w:hint="eastAsia" w:ascii="宋体" w:hAnsi="宋体" w:cs="宋体"/>
          <w:bCs/>
          <w:color w:val="auto"/>
          <w:sz w:val="24"/>
          <w:highlight w:val="none"/>
        </w:rPr>
        <w:t>中级</w:t>
      </w:r>
      <w:r>
        <w:rPr>
          <w:rFonts w:hint="eastAsia" w:ascii="宋体" w:hAnsi="宋体" w:cs="宋体"/>
          <w:bCs/>
          <w:color w:val="auto"/>
          <w:sz w:val="24"/>
          <w:highlight w:val="none"/>
          <w:lang w:val="en-US" w:eastAsia="zh-CN"/>
        </w:rPr>
        <w:t>及</w:t>
      </w:r>
      <w:r>
        <w:rPr>
          <w:rFonts w:hint="eastAsia" w:ascii="宋体" w:hAnsi="宋体" w:cs="宋体"/>
          <w:bCs/>
          <w:color w:val="auto"/>
          <w:sz w:val="24"/>
          <w:highlight w:val="none"/>
        </w:rPr>
        <w:t>以上</w:t>
      </w:r>
      <w:r>
        <w:rPr>
          <w:rFonts w:hint="eastAsia" w:ascii="宋体" w:hAnsi="宋体" w:cs="宋体"/>
          <w:bCs/>
          <w:color w:val="auto"/>
          <w:sz w:val="24"/>
          <w:highlight w:val="none"/>
          <w:lang w:val="en-US" w:eastAsia="zh-CN"/>
        </w:rPr>
        <w:t>职称</w:t>
      </w:r>
      <w:r>
        <w:rPr>
          <w:rFonts w:hint="eastAsia" w:ascii="宋体" w:hAnsi="宋体" w:cs="宋体"/>
          <w:bCs/>
          <w:color w:val="auto"/>
          <w:sz w:val="24"/>
          <w:highlight w:val="none"/>
        </w:rPr>
        <w:t>，须为本单位人员</w:t>
      </w: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拟派本项目人员应提供近6个月的社保缴费证明</w:t>
      </w:r>
      <w:r>
        <w:rPr>
          <w:rFonts w:hint="eastAsia" w:ascii="宋体" w:hAnsi="宋体" w:cs="宋体"/>
          <w:bCs/>
          <w:color w:val="auto"/>
          <w:sz w:val="24"/>
          <w:highlight w:val="none"/>
          <w:lang w:eastAsia="zh-CN"/>
        </w:rPr>
        <w:t>）</w:t>
      </w:r>
    </w:p>
    <w:p>
      <w:pPr>
        <w:pStyle w:val="3"/>
        <w:ind w:firstLine="482" w:firstLineChars="200"/>
        <w:rPr>
          <w:rFonts w:ascii="宋体" w:hAnsi="宋体" w:cs="宋体"/>
          <w:b/>
          <w:color w:val="auto"/>
          <w:sz w:val="24"/>
          <w:highlight w:val="none"/>
        </w:rPr>
      </w:pPr>
      <w:r>
        <w:rPr>
          <w:rFonts w:hint="eastAsia" w:ascii="宋体" w:hAnsi="宋体" w:cs="宋体"/>
          <w:b/>
          <w:color w:val="auto"/>
          <w:sz w:val="24"/>
          <w:highlight w:val="none"/>
        </w:rPr>
        <w:t>七、</w:t>
      </w:r>
      <w:r>
        <w:rPr>
          <w:rFonts w:ascii="宋体" w:hAnsi="宋体" w:cs="宋体"/>
          <w:b/>
          <w:color w:val="auto"/>
          <w:sz w:val="24"/>
          <w:highlight w:val="none"/>
        </w:rPr>
        <w:t>技术成果经济补偿</w:t>
      </w:r>
    </w:p>
    <w:p>
      <w:pPr>
        <w:spacing w:after="120" w:afterLines="50"/>
        <w:ind w:firstLine="480" w:firstLineChars="200"/>
        <w:rPr>
          <w:rFonts w:ascii="宋体" w:hAnsi="宋体" w:cs="宋体"/>
          <w:bCs/>
          <w:color w:val="auto"/>
          <w:sz w:val="24"/>
          <w:highlight w:val="none"/>
        </w:rPr>
      </w:pPr>
      <w:r>
        <w:rPr>
          <w:rFonts w:ascii="宋体" w:hAnsi="宋体" w:cs="宋体"/>
          <w:bCs/>
          <w:color w:val="auto"/>
          <w:sz w:val="24"/>
          <w:highlight w:val="none"/>
        </w:rPr>
        <w:t>要求投标人带</w:t>
      </w:r>
      <w:r>
        <w:rPr>
          <w:rFonts w:hint="eastAsia" w:ascii="宋体" w:hAnsi="宋体" w:cs="宋体"/>
          <w:bCs/>
          <w:color w:val="auto"/>
          <w:sz w:val="24"/>
          <w:highlight w:val="none"/>
        </w:rPr>
        <w:t>意向</w:t>
      </w:r>
      <w:r>
        <w:rPr>
          <w:rFonts w:ascii="宋体" w:hAnsi="宋体" w:cs="宋体"/>
          <w:bCs/>
          <w:color w:val="auto"/>
          <w:sz w:val="24"/>
          <w:highlight w:val="none"/>
        </w:rPr>
        <w:t>方案投标</w:t>
      </w:r>
      <w:r>
        <w:rPr>
          <w:rFonts w:hint="eastAsia" w:ascii="宋体" w:hAnsi="宋体" w:cs="宋体"/>
          <w:bCs/>
          <w:color w:val="auto"/>
          <w:sz w:val="24"/>
          <w:highlight w:val="none"/>
        </w:rPr>
        <w:t>，</w:t>
      </w:r>
      <w:r>
        <w:rPr>
          <w:rFonts w:ascii="宋体" w:hAnsi="宋体" w:cs="宋体"/>
          <w:bCs/>
          <w:color w:val="auto"/>
          <w:sz w:val="24"/>
          <w:highlight w:val="none"/>
        </w:rPr>
        <w:t>本次招标对未中标人投标文件中的技术成果</w:t>
      </w:r>
      <w:r>
        <w:rPr>
          <w:rFonts w:ascii="宋体" w:hAnsi="宋体" w:cs="宋体"/>
          <w:bCs/>
          <w:color w:val="auto"/>
          <w:sz w:val="24"/>
          <w:highlight w:val="none"/>
          <w:u w:val="single"/>
        </w:rPr>
        <w:t>不给予</w:t>
      </w:r>
      <w:r>
        <w:rPr>
          <w:rFonts w:ascii="宋体" w:hAnsi="宋体" w:cs="宋体"/>
          <w:bCs/>
          <w:color w:val="auto"/>
          <w:sz w:val="24"/>
          <w:highlight w:val="none"/>
        </w:rPr>
        <w:t>经济补偿。</w:t>
      </w:r>
    </w:p>
    <w:p>
      <w:pPr>
        <w:pStyle w:val="13"/>
        <w:ind w:firstLine="482"/>
        <w:rPr>
          <w:rFonts w:hint="eastAsia" w:ascii="宋体" w:hAnsi="宋体" w:cs="宋体"/>
          <w:b/>
          <w:color w:val="auto"/>
          <w:sz w:val="24"/>
          <w:highlight w:val="none"/>
        </w:rPr>
      </w:pPr>
      <w:r>
        <w:rPr>
          <w:rFonts w:hint="eastAsia" w:ascii="宋体" w:hAnsi="宋体" w:cs="宋体"/>
          <w:b/>
          <w:color w:val="auto"/>
          <w:sz w:val="24"/>
          <w:highlight w:val="none"/>
        </w:rPr>
        <w:t>八、招标文件获取时间、地点：</w:t>
      </w:r>
    </w:p>
    <w:p>
      <w:pPr>
        <w:spacing w:after="120" w:afterLines="50"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凡有意参加投标者，请于</w:t>
      </w:r>
      <w:r>
        <w:rPr>
          <w:rFonts w:hint="eastAsia" w:ascii="宋体" w:hAnsi="宋体" w:cs="宋体"/>
          <w:b/>
          <w:bCs/>
          <w:color w:val="auto"/>
          <w:sz w:val="24"/>
          <w:highlight w:val="none"/>
        </w:rPr>
        <w:t>2021年</w:t>
      </w:r>
      <w:r>
        <w:rPr>
          <w:rFonts w:hint="eastAsia" w:ascii="宋体" w:hAnsi="宋体" w:cs="宋体"/>
          <w:b/>
          <w:bCs/>
          <w:color w:val="auto"/>
          <w:sz w:val="24"/>
          <w:highlight w:val="none"/>
          <w:lang w:val="en-US" w:eastAsia="zh-CN"/>
        </w:rPr>
        <w:t>08</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06</w:t>
      </w:r>
      <w:r>
        <w:rPr>
          <w:rFonts w:hint="eastAsia" w:ascii="宋体" w:hAnsi="宋体" w:cs="宋体"/>
          <w:b/>
          <w:bCs/>
          <w:color w:val="auto"/>
          <w:sz w:val="24"/>
          <w:highlight w:val="none"/>
        </w:rPr>
        <w:t>日09时00分至2021年</w:t>
      </w:r>
      <w:r>
        <w:rPr>
          <w:rFonts w:hint="eastAsia" w:ascii="宋体" w:hAnsi="宋体" w:cs="宋体"/>
          <w:b/>
          <w:bCs/>
          <w:color w:val="auto"/>
          <w:sz w:val="24"/>
          <w:highlight w:val="none"/>
          <w:lang w:val="en-US" w:eastAsia="zh-CN"/>
        </w:rPr>
        <w:t>08</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10</w:t>
      </w:r>
      <w:r>
        <w:rPr>
          <w:rFonts w:hint="eastAsia" w:ascii="宋体" w:hAnsi="宋体" w:cs="宋体"/>
          <w:b/>
          <w:bCs/>
          <w:color w:val="auto"/>
          <w:sz w:val="24"/>
          <w:highlight w:val="none"/>
        </w:rPr>
        <w:t>日17</w:t>
      </w:r>
      <w:r>
        <w:rPr>
          <w:rFonts w:hint="eastAsia" w:ascii="宋体" w:hAnsi="宋体" w:cs="宋体"/>
          <w:b/>
          <w:color w:val="auto"/>
          <w:sz w:val="24"/>
          <w:highlight w:val="none"/>
        </w:rPr>
        <w:t>时00分前</w:t>
      </w:r>
      <w:r>
        <w:rPr>
          <w:rFonts w:hint="eastAsia" w:ascii="宋体" w:hAnsi="宋体" w:cs="宋体"/>
          <w:bCs/>
          <w:color w:val="auto"/>
          <w:sz w:val="24"/>
          <w:highlight w:val="none"/>
        </w:rPr>
        <w:t>（</w:t>
      </w:r>
      <w:r>
        <w:rPr>
          <w:rFonts w:hint="eastAsia" w:ascii="宋体" w:hAnsi="宋体" w:cs="宋体"/>
          <w:color w:val="auto"/>
          <w:sz w:val="24"/>
          <w:highlight w:val="none"/>
        </w:rPr>
        <w:t>北京时间</w:t>
      </w:r>
      <w:r>
        <w:rPr>
          <w:rFonts w:hint="eastAsia" w:ascii="宋体" w:hAnsi="宋体" w:cs="宋体"/>
          <w:bCs/>
          <w:color w:val="auto"/>
          <w:sz w:val="24"/>
          <w:highlight w:val="none"/>
        </w:rPr>
        <w:t>）, 在泸州市佳乐世纪城16号楼1007室购买。</w:t>
      </w:r>
    </w:p>
    <w:p>
      <w:pPr>
        <w:spacing w:after="120" w:afterLines="50"/>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招标文件售价:300元/份（现场缴费，售后不退，投标人主体资格不允许转让）。</w:t>
      </w:r>
    </w:p>
    <w:p>
      <w:pPr>
        <w:spacing w:after="50"/>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供应商购买招标文件时须携带下列有效证明文件：</w:t>
      </w:r>
    </w:p>
    <w:p>
      <w:pPr>
        <w:spacing w:after="50"/>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供应商营业执照副本复印件、税务登记证副本复印件、组织机构代码证副本复印件或（三证合一复印件），法定代表人授权书原件（法定代表人及被授权人身份复印件加盖公章,被授权人身份证原件查验。）</w:t>
      </w:r>
    </w:p>
    <w:p>
      <w:pPr>
        <w:spacing w:after="50"/>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未按照本项规定的方式、时限报名获取招标文件的，其投标将被拒绝。</w:t>
      </w:r>
    </w:p>
    <w:p>
      <w:pPr>
        <w:spacing w:after="120" w:afterLines="50" w:line="420" w:lineRule="exact"/>
        <w:ind w:firstLine="482" w:firstLineChars="200"/>
        <w:rPr>
          <w:rFonts w:hint="eastAsia" w:ascii="宋体" w:hAnsi="宋体" w:cs="宋体"/>
          <w:color w:val="auto"/>
          <w:sz w:val="24"/>
          <w:szCs w:val="28"/>
          <w:highlight w:val="none"/>
        </w:rPr>
      </w:pPr>
      <w:r>
        <w:rPr>
          <w:rFonts w:hint="eastAsia" w:ascii="宋体" w:hAnsi="宋体" w:cs="宋体"/>
          <w:b/>
          <w:color w:val="auto"/>
          <w:sz w:val="24"/>
          <w:szCs w:val="28"/>
          <w:highlight w:val="none"/>
        </w:rPr>
        <w:t>九、</w:t>
      </w:r>
      <w:r>
        <w:rPr>
          <w:rFonts w:hint="eastAsia" w:ascii="宋体" w:hAnsi="宋体" w:cs="宋体"/>
          <w:b/>
          <w:color w:val="auto"/>
          <w:sz w:val="24"/>
          <w:highlight w:val="none"/>
        </w:rPr>
        <w:t>投标截止时间和开标时间：</w:t>
      </w:r>
      <w:r>
        <w:rPr>
          <w:rFonts w:hint="eastAsia" w:ascii="宋体" w:hAnsi="宋体" w:cs="宋体"/>
          <w:color w:val="auto"/>
          <w:sz w:val="24"/>
          <w:highlight w:val="none"/>
          <w:u w:val="single"/>
        </w:rPr>
        <w:t>2021年</w:t>
      </w:r>
      <w:r>
        <w:rPr>
          <w:rFonts w:hint="eastAsia" w:ascii="宋体" w:hAnsi="宋体" w:cs="宋体"/>
          <w:color w:val="auto"/>
          <w:sz w:val="24"/>
          <w:highlight w:val="none"/>
          <w:u w:val="single"/>
          <w:lang w:val="en-US" w:eastAsia="zh-CN"/>
        </w:rPr>
        <w:t>08</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26</w:t>
      </w:r>
      <w:r>
        <w:rPr>
          <w:rFonts w:hint="eastAsia" w:ascii="宋体" w:hAnsi="宋体" w:cs="宋体"/>
          <w:color w:val="auto"/>
          <w:sz w:val="24"/>
          <w:highlight w:val="none"/>
          <w:u w:val="single"/>
        </w:rPr>
        <w:t>日上午</w:t>
      </w:r>
      <w:r>
        <w:rPr>
          <w:rFonts w:hint="eastAsia" w:ascii="宋体" w:hAnsi="宋体" w:cs="宋体"/>
          <w:bCs/>
          <w:color w:val="auto"/>
          <w:sz w:val="24"/>
          <w:highlight w:val="none"/>
          <w:u w:val="single"/>
        </w:rPr>
        <w:t>09：30</w:t>
      </w:r>
      <w:r>
        <w:rPr>
          <w:rFonts w:hint="eastAsia" w:ascii="宋体" w:hAnsi="宋体" w:cs="宋体"/>
          <w:color w:val="auto"/>
          <w:sz w:val="24"/>
          <w:szCs w:val="28"/>
          <w:highlight w:val="none"/>
        </w:rPr>
        <w:t>（北京时间）。</w:t>
      </w:r>
    </w:p>
    <w:p>
      <w:pPr>
        <w:pStyle w:val="6"/>
        <w:spacing w:after="120" w:afterLines="50" w:line="420" w:lineRule="exact"/>
        <w:ind w:firstLine="480"/>
        <w:rPr>
          <w:rFonts w:hint="eastAsia" w:ascii="宋体" w:hAnsi="宋体" w:cs="宋体"/>
          <w:color w:val="auto"/>
          <w:sz w:val="24"/>
          <w:szCs w:val="28"/>
          <w:highlight w:val="none"/>
        </w:rPr>
      </w:pPr>
      <w:r>
        <w:rPr>
          <w:rFonts w:hint="eastAsia" w:ascii="宋体" w:hAnsi="宋体" w:cs="宋体"/>
          <w:color w:val="auto"/>
          <w:sz w:val="24"/>
          <w:szCs w:val="28"/>
          <w:highlight w:val="none"/>
        </w:rPr>
        <w:t>投标文件必须在投标截止时间前送达开标地点，逾期送达的投标文件恕不接收，本次招标不接受邮寄的投标文件。</w:t>
      </w:r>
    </w:p>
    <w:p>
      <w:pPr>
        <w:spacing w:after="50" w:line="420" w:lineRule="exact"/>
        <w:ind w:firstLine="489" w:firstLineChars="203"/>
        <w:rPr>
          <w:rFonts w:hint="eastAsia" w:ascii="宋体" w:hAnsi="宋体" w:cs="宋体"/>
          <w:color w:val="auto"/>
          <w:sz w:val="24"/>
          <w:szCs w:val="28"/>
          <w:highlight w:val="none"/>
        </w:rPr>
      </w:pPr>
      <w:r>
        <w:rPr>
          <w:rFonts w:hint="eastAsia" w:ascii="宋体" w:hAnsi="宋体" w:cs="宋体"/>
          <w:b/>
          <w:color w:val="auto"/>
          <w:sz w:val="24"/>
          <w:szCs w:val="28"/>
          <w:highlight w:val="none"/>
        </w:rPr>
        <w:t>十、开标地点：</w:t>
      </w:r>
      <w:r>
        <w:rPr>
          <w:rFonts w:hint="eastAsia" w:ascii="宋体" w:hAnsi="宋体" w:cs="宋体"/>
          <w:color w:val="auto"/>
          <w:sz w:val="24"/>
          <w:highlight w:val="none"/>
          <w:u w:val="single"/>
        </w:rPr>
        <w:t>泸州市佳乐世纪城16号楼1007室开标大厅</w:t>
      </w:r>
      <w:r>
        <w:rPr>
          <w:rFonts w:hint="eastAsia" w:ascii="宋体" w:hAnsi="宋体" w:cs="宋体"/>
          <w:color w:val="auto"/>
          <w:sz w:val="24"/>
          <w:szCs w:val="28"/>
          <w:highlight w:val="none"/>
        </w:rPr>
        <w:t>。</w:t>
      </w:r>
    </w:p>
    <w:p>
      <w:pPr>
        <w:pStyle w:val="13"/>
        <w:spacing w:line="420" w:lineRule="exact"/>
        <w:ind w:firstLine="482"/>
        <w:rPr>
          <w:rFonts w:hint="eastAsia" w:ascii="宋体" w:hAnsi="宋体" w:cs="宋体"/>
          <w:color w:val="auto"/>
          <w:sz w:val="24"/>
          <w:highlight w:val="none"/>
        </w:rPr>
      </w:pPr>
      <w:r>
        <w:rPr>
          <w:rFonts w:hint="eastAsia" w:ascii="宋体" w:hAnsi="宋体" w:cs="宋体"/>
          <w:b/>
          <w:color w:val="auto"/>
          <w:sz w:val="24"/>
          <w:highlight w:val="none"/>
        </w:rPr>
        <w:t>十一、</w:t>
      </w:r>
      <w:r>
        <w:rPr>
          <w:rFonts w:hint="eastAsia" w:ascii="宋体" w:hAnsi="宋体" w:cs="宋体"/>
          <w:color w:val="auto"/>
          <w:sz w:val="24"/>
          <w:highlight w:val="none"/>
        </w:rPr>
        <w:t>本投标邀请在</w:t>
      </w:r>
      <w:r>
        <w:rPr>
          <w:rFonts w:hint="eastAsia" w:ascii="宋体" w:hAnsi="宋体" w:cs="宋体"/>
          <w:color w:val="auto"/>
          <w:sz w:val="24"/>
          <w:highlight w:val="none"/>
          <w:u w:val="single"/>
        </w:rPr>
        <w:t>泸州市公共资源交易网（www.lzsggzy.com）和龙驰集团官网（www.lzlcgroup.com）</w:t>
      </w:r>
      <w:r>
        <w:rPr>
          <w:rFonts w:hint="eastAsia" w:ascii="宋体" w:hAnsi="宋体" w:cs="宋体"/>
          <w:color w:val="auto"/>
          <w:sz w:val="24"/>
          <w:highlight w:val="none"/>
        </w:rPr>
        <w:t>上以公告形式发布。</w:t>
      </w:r>
    </w:p>
    <w:p>
      <w:pPr>
        <w:pStyle w:val="13"/>
        <w:spacing w:line="420" w:lineRule="exact"/>
        <w:ind w:firstLine="482"/>
        <w:rPr>
          <w:rFonts w:hint="eastAsia" w:ascii="宋体" w:hAnsi="宋体" w:cs="宋体"/>
          <w:b/>
          <w:color w:val="auto"/>
          <w:sz w:val="24"/>
          <w:highlight w:val="none"/>
        </w:rPr>
      </w:pPr>
      <w:r>
        <w:rPr>
          <w:rFonts w:hint="eastAsia" w:ascii="宋体" w:hAnsi="宋体" w:cs="宋体"/>
          <w:b/>
          <w:color w:val="auto"/>
          <w:sz w:val="24"/>
          <w:highlight w:val="none"/>
        </w:rPr>
        <w:t>十二、联 系 方 式:</w:t>
      </w:r>
    </w:p>
    <w:p>
      <w:pPr>
        <w:pStyle w:val="13"/>
        <w:spacing w:line="420" w:lineRule="exact"/>
        <w:ind w:firstLine="1130" w:firstLineChars="471"/>
        <w:rPr>
          <w:rFonts w:hint="eastAsia" w:ascii="宋体" w:hAnsi="宋体" w:cs="宋体"/>
          <w:color w:val="auto"/>
          <w:sz w:val="24"/>
          <w:highlight w:val="none"/>
        </w:rPr>
      </w:pPr>
      <w:r>
        <w:rPr>
          <w:rFonts w:hint="eastAsia" w:ascii="宋体" w:hAnsi="宋体" w:cs="宋体"/>
          <w:color w:val="auto"/>
          <w:sz w:val="24"/>
          <w:highlight w:val="none"/>
        </w:rPr>
        <w:t>采  购 人：泸州市龙马潭区龙驰旅游发展有限公司；</w:t>
      </w:r>
    </w:p>
    <w:p>
      <w:pPr>
        <w:pStyle w:val="13"/>
        <w:spacing w:line="420" w:lineRule="exact"/>
        <w:ind w:firstLine="1130" w:firstLineChars="471"/>
        <w:rPr>
          <w:rFonts w:hint="eastAsia" w:ascii="宋体" w:hAnsi="宋体" w:cs="宋体"/>
          <w:color w:val="auto"/>
          <w:sz w:val="24"/>
          <w:highlight w:val="none"/>
        </w:rPr>
      </w:pPr>
      <w:r>
        <w:rPr>
          <w:rFonts w:hint="eastAsia" w:ascii="宋体" w:hAnsi="宋体" w:cs="宋体"/>
          <w:color w:val="auto"/>
          <w:sz w:val="24"/>
          <w:highlight w:val="none"/>
        </w:rPr>
        <w:t>地     址：中国(四川)自由贸易试验区川南临港片区龙马大道三段1号区政府党政大楼8楼802室；</w:t>
      </w:r>
    </w:p>
    <w:p>
      <w:pPr>
        <w:pStyle w:val="13"/>
        <w:spacing w:line="420" w:lineRule="exact"/>
        <w:ind w:firstLine="1130" w:firstLineChars="471"/>
        <w:rPr>
          <w:rFonts w:hint="eastAsia" w:ascii="宋体" w:hAnsi="宋体" w:cs="宋体"/>
          <w:color w:val="auto"/>
          <w:sz w:val="24"/>
          <w:highlight w:val="none"/>
        </w:rPr>
      </w:pPr>
      <w:r>
        <w:rPr>
          <w:rFonts w:hint="eastAsia" w:ascii="宋体" w:hAnsi="宋体" w:cs="宋体"/>
          <w:color w:val="auto"/>
          <w:sz w:val="24"/>
          <w:highlight w:val="none"/>
        </w:rPr>
        <w:t>联 系  人：</w:t>
      </w:r>
      <w:r>
        <w:rPr>
          <w:rFonts w:hint="default" w:ascii="宋体" w:hAnsi="宋体" w:cs="宋体"/>
          <w:color w:val="auto"/>
          <w:sz w:val="24"/>
          <w:highlight w:val="none"/>
          <w:lang w:val="en-US"/>
        </w:rPr>
        <w:t>邓</w:t>
      </w:r>
      <w:r>
        <w:rPr>
          <w:rFonts w:hint="eastAsia" w:ascii="宋体" w:hAnsi="宋体" w:cs="宋体"/>
          <w:color w:val="auto"/>
          <w:sz w:val="24"/>
          <w:highlight w:val="none"/>
        </w:rPr>
        <w:t>女士；</w:t>
      </w:r>
    </w:p>
    <w:p>
      <w:pPr>
        <w:pStyle w:val="13"/>
        <w:spacing w:line="420" w:lineRule="exact"/>
        <w:ind w:firstLine="1130" w:firstLineChars="471"/>
        <w:rPr>
          <w:rFonts w:hint="eastAsia" w:ascii="宋体" w:hAnsi="宋体" w:cs="宋体"/>
          <w:color w:val="auto"/>
          <w:sz w:val="24"/>
          <w:highlight w:val="none"/>
        </w:rPr>
      </w:pPr>
      <w:r>
        <w:rPr>
          <w:rFonts w:hint="eastAsia" w:ascii="宋体" w:hAnsi="宋体" w:cs="宋体"/>
          <w:color w:val="auto"/>
          <w:sz w:val="24"/>
          <w:highlight w:val="none"/>
        </w:rPr>
        <w:t xml:space="preserve">电     话：0830-3170292。 </w:t>
      </w:r>
    </w:p>
    <w:p>
      <w:pPr>
        <w:pStyle w:val="13"/>
        <w:spacing w:line="420" w:lineRule="exact"/>
        <w:ind w:firstLine="1128" w:firstLineChars="470"/>
        <w:rPr>
          <w:rFonts w:hint="eastAsia" w:ascii="宋体" w:hAnsi="宋体" w:cs="宋体"/>
          <w:b/>
          <w:color w:val="auto"/>
          <w:sz w:val="24"/>
          <w:highlight w:val="none"/>
        </w:rPr>
      </w:pPr>
      <w:r>
        <w:rPr>
          <w:rFonts w:hint="eastAsia" w:ascii="宋体" w:hAnsi="宋体" w:cs="宋体"/>
          <w:color w:val="auto"/>
          <w:sz w:val="24"/>
          <w:highlight w:val="none"/>
        </w:rPr>
        <w:t>采购代理机构：四川嘉泰伟业工程项目管理有限公司；</w:t>
      </w:r>
    </w:p>
    <w:p>
      <w:pPr>
        <w:pStyle w:val="13"/>
        <w:spacing w:line="420" w:lineRule="exact"/>
        <w:ind w:firstLine="1130" w:firstLineChars="471"/>
        <w:rPr>
          <w:rFonts w:hint="eastAsia" w:ascii="宋体" w:hAnsi="宋体" w:cs="宋体"/>
          <w:color w:val="auto"/>
          <w:sz w:val="24"/>
          <w:highlight w:val="none"/>
        </w:rPr>
      </w:pPr>
      <w:r>
        <w:rPr>
          <w:rFonts w:hint="eastAsia" w:ascii="宋体" w:hAnsi="宋体" w:cs="宋体"/>
          <w:color w:val="auto"/>
          <w:sz w:val="24"/>
          <w:highlight w:val="none"/>
        </w:rPr>
        <w:t>地    址：泸州市佳乐世纪城16号楼1007室；</w:t>
      </w:r>
    </w:p>
    <w:p>
      <w:pPr>
        <w:pStyle w:val="13"/>
        <w:spacing w:line="420" w:lineRule="exact"/>
        <w:ind w:firstLine="1130" w:firstLineChars="471"/>
        <w:rPr>
          <w:rFonts w:hint="eastAsia" w:ascii="宋体" w:hAnsi="宋体" w:cs="宋体"/>
          <w:color w:val="auto"/>
          <w:sz w:val="24"/>
          <w:highlight w:val="none"/>
        </w:rPr>
      </w:pPr>
      <w:r>
        <w:rPr>
          <w:rFonts w:hint="eastAsia" w:ascii="宋体" w:hAnsi="宋体" w:cs="宋体"/>
          <w:color w:val="auto"/>
          <w:sz w:val="24"/>
          <w:highlight w:val="none"/>
        </w:rPr>
        <w:t>联 系 人：尹先生；</w:t>
      </w:r>
    </w:p>
    <w:p>
      <w:pPr>
        <w:pStyle w:val="13"/>
        <w:spacing w:line="420" w:lineRule="exact"/>
        <w:ind w:firstLine="1130" w:firstLineChars="471"/>
        <w:rPr>
          <w:rFonts w:hint="eastAsia" w:ascii="宋体" w:hAnsi="宋体" w:cs="宋体"/>
          <w:color w:val="auto"/>
          <w:sz w:val="24"/>
          <w:highlight w:val="none"/>
        </w:rPr>
      </w:pPr>
      <w:r>
        <w:rPr>
          <w:rFonts w:hint="eastAsia" w:ascii="宋体" w:hAnsi="宋体" w:cs="宋体"/>
          <w:color w:val="auto"/>
          <w:sz w:val="24"/>
          <w:highlight w:val="none"/>
        </w:rPr>
        <w:t>联系电话：17628252625；</w:t>
      </w:r>
    </w:p>
    <w:p>
      <w:r>
        <w:rPr>
          <w:rFonts w:hint="eastAsia" w:cs="宋体"/>
          <w:color w:val="auto"/>
          <w:sz w:val="24"/>
          <w:szCs w:val="24"/>
          <w:highlight w:val="none"/>
        </w:rPr>
        <w:t>2021年</w:t>
      </w:r>
      <w:r>
        <w:rPr>
          <w:rFonts w:hint="eastAsia" w:cs="宋体"/>
          <w:bCs/>
          <w:color w:val="auto"/>
          <w:sz w:val="24"/>
          <w:szCs w:val="24"/>
          <w:highlight w:val="none"/>
        </w:rPr>
        <w:t>0</w:t>
      </w:r>
      <w:r>
        <w:rPr>
          <w:rFonts w:hint="eastAsia" w:cs="宋体"/>
          <w:bCs/>
          <w:color w:val="auto"/>
          <w:sz w:val="24"/>
          <w:szCs w:val="24"/>
          <w:highlight w:val="none"/>
          <w:lang w:val="en-US" w:eastAsia="zh-CN"/>
        </w:rPr>
        <w:t>8</w:t>
      </w:r>
      <w:r>
        <w:rPr>
          <w:rFonts w:hint="eastAsia" w:cs="宋体"/>
          <w:color w:val="auto"/>
          <w:sz w:val="24"/>
          <w:szCs w:val="24"/>
          <w:highlight w:val="none"/>
        </w:rPr>
        <w:t>月</w:t>
      </w: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C463B9"/>
    <w:rsid w:val="13C463B9"/>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4">
    <w:name w:val="heading 1"/>
    <w:basedOn w:val="1"/>
    <w:next w:val="1"/>
    <w:qFormat/>
    <w:uiPriority w:val="0"/>
    <w:pPr>
      <w:keepNext/>
      <w:keepLines/>
      <w:spacing w:before="340" w:beforeLines="0" w:after="330" w:afterLines="0" w:line="360" w:lineRule="auto"/>
      <w:jc w:val="center"/>
      <w:outlineLvl w:val="0"/>
    </w:pPr>
    <w:rPr>
      <w:b/>
      <w:bCs/>
      <w:kern w:val="44"/>
      <w:sz w:val="44"/>
      <w:szCs w:val="44"/>
    </w:rPr>
  </w:style>
  <w:style w:type="character" w:default="1" w:styleId="10">
    <w:name w:val="Default Paragraph Font"/>
    <w:semiHidden/>
    <w:uiPriority w:val="0"/>
  </w:style>
  <w:style w:type="table" w:default="1" w:styleId="12">
    <w:name w:val="Normal Table"/>
    <w:semiHidden/>
    <w:uiPriority w:val="0"/>
    <w:tblPr>
      <w:tblLayout w:type="fixed"/>
      <w:tblCellMar>
        <w:top w:w="0" w:type="dxa"/>
        <w:left w:w="108" w:type="dxa"/>
        <w:bottom w:w="0" w:type="dxa"/>
        <w:right w:w="108" w:type="dxa"/>
      </w:tblCellMar>
    </w:tblPr>
  </w:style>
  <w:style w:type="paragraph" w:customStyle="1" w:styleId="2">
    <w:name w:val="BodyText"/>
    <w:basedOn w:val="1"/>
    <w:next w:val="3"/>
    <w:qFormat/>
    <w:uiPriority w:val="0"/>
    <w:pPr>
      <w:spacing w:after="120"/>
    </w:pPr>
  </w:style>
  <w:style w:type="paragraph" w:customStyle="1" w:styleId="3">
    <w:name w:val="BodyText1I"/>
    <w:basedOn w:val="2"/>
    <w:qFormat/>
    <w:uiPriority w:val="0"/>
    <w:pPr>
      <w:ind w:firstLine="420" w:firstLineChars="100"/>
    </w:pPr>
  </w:style>
  <w:style w:type="paragraph" w:styleId="5">
    <w:name w:val="Body Text"/>
    <w:basedOn w:val="1"/>
    <w:next w:val="1"/>
    <w:uiPriority w:val="0"/>
    <w:pPr>
      <w:spacing w:line="288" w:lineRule="auto"/>
    </w:pPr>
    <w:rPr>
      <w:rFonts w:ascii="仿宋_GB2312"/>
      <w:szCs w:val="20"/>
    </w:rPr>
  </w:style>
  <w:style w:type="paragraph" w:styleId="6">
    <w:name w:val="Body Text Indent"/>
    <w:basedOn w:val="1"/>
    <w:uiPriority w:val="0"/>
    <w:pPr>
      <w:ind w:firstLine="630"/>
    </w:pPr>
    <w:rPr>
      <w:sz w:val="32"/>
      <w:szCs w:val="20"/>
    </w:rPr>
  </w:style>
  <w:style w:type="paragraph" w:styleId="7">
    <w:name w:val="footer"/>
    <w:basedOn w:val="1"/>
    <w:uiPriority w:val="0"/>
    <w:pPr>
      <w:tabs>
        <w:tab w:val="center" w:pos="4153"/>
        <w:tab w:val="right" w:pos="8306"/>
      </w:tabs>
      <w:snapToGrid w:val="0"/>
      <w:jc w:val="left"/>
    </w:pPr>
    <w:rPr>
      <w:sz w:val="18"/>
      <w:szCs w:val="20"/>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20"/>
    </w:rPr>
  </w:style>
  <w:style w:type="paragraph" w:styleId="9">
    <w:name w:val="Normal (Web)"/>
    <w:basedOn w:val="1"/>
    <w:uiPriority w:val="0"/>
    <w:pPr>
      <w:widowControl/>
      <w:spacing w:before="100" w:beforeLines="0" w:beforeAutospacing="1" w:after="100" w:afterLines="0" w:afterAutospacing="1"/>
      <w:jc w:val="left"/>
    </w:pPr>
    <w:rPr>
      <w:rFonts w:ascii="宋体" w:hAnsi="宋体"/>
      <w:kern w:val="0"/>
      <w:sz w:val="18"/>
      <w:szCs w:val="18"/>
    </w:rPr>
  </w:style>
  <w:style w:type="character" w:styleId="11">
    <w:name w:val="page number"/>
    <w:uiPriority w:val="0"/>
  </w:style>
  <w:style w:type="paragraph" w:customStyle="1" w:styleId="13">
    <w:name w:val="正文首行缩进两字符"/>
    <w:basedOn w:val="1"/>
    <w:qFormat/>
    <w:uiPriority w:val="99"/>
    <w:pPr>
      <w:spacing w:line="360" w:lineRule="auto"/>
      <w:ind w:firstLine="20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2021-08-05T09:02:00Z</dcterms:created>
  <dc:creator>大可</dc:creator>
  <cp:lastModifiedBy>大可</cp:lastModifiedBy>
  <dcterms:modified xsi:type="dcterms:W3CDTF">2021-08-05T09:03:15Z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